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支付令申请书</w:t>
      </w:r>
    </w:p>
    <w:p/>
    <w:p>
      <w:pPr>
        <w:spacing w:line="360" w:lineRule="auto"/>
      </w:pPr>
      <w:r>
        <w:rPr>
          <w:rFonts w:ascii="SimSun" w:hAnsi="SimSun"/>
          <w:sz w:val="24"/>
        </w:rPr>
        <w:t>申请人：×××，男/女，××××年××月××日出生，×族，住……，联系方式：……。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被申请人：×××，男/女，××××年××月××日出生，×族，住……，联系方式：……。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申请事项：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请求贵院向被申请人发出支付令，督促被申请人给付申请人人民币××××元（写明金钱或有价证券的具体数额）。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（写明债权债务关系发生的事实、依据，双方无其他债务纠纷，支付令能够送达被申请人的情况。）</w:t>
      </w:r>
    </w:p>
    <w:p>
      <w:pPr>
        <w:spacing w:line="360" w:lineRule="auto"/>
      </w:pPr>
      <w:r>
        <w:rPr>
          <w:rFonts w:ascii="SimSun" w:hAnsi="SimSun"/>
          <w:sz w:val="24"/>
        </w:rPr>
        <w:t>申请人与被申请人之间的债权债务关系明确、合法，有……（写明证据名称）为证，双方不存在其他债务纠纷。依据《中华人民共和国民事诉讼法》第二百二十一条之规定，特申请支付令。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申请人（签名/盖章）：×××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